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1" w:type="pct"/>
        <w:tblCellSpacing w:w="7" w:type="dxa"/>
        <w:tblInd w:w="-255" w:type="dxa"/>
        <w:shd w:val="clear" w:color="auto" w:fill="FFFFFF"/>
        <w:tblLook w:val="04A0" w:firstRow="1" w:lastRow="0" w:firstColumn="1" w:lastColumn="0" w:noHBand="0" w:noVBand="1"/>
      </w:tblPr>
      <w:tblGrid>
        <w:gridCol w:w="9624"/>
        <w:gridCol w:w="267"/>
      </w:tblGrid>
      <w:tr w:rsidR="003C6F46" w:rsidTr="003C6F46">
        <w:trPr>
          <w:gridAfter w:val="1"/>
          <w:wAfter w:w="117" w:type="pct"/>
          <w:tblCellSpacing w:w="7" w:type="dxa"/>
        </w:trPr>
        <w:tc>
          <w:tcPr>
            <w:tcW w:w="485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6F46" w:rsidRDefault="003C6F46" w:rsidP="003C6F46">
            <w:pPr>
              <w:jc w:val="both"/>
              <w:rPr>
                <w:rFonts w:ascii="Garamond" w:eastAsia="Times New Roman" w:hAnsi="Garamond" w:cs="Times New Roman"/>
                <w:sz w:val="32"/>
                <w:szCs w:val="32"/>
                <w:lang w:eastAsia="it-IT"/>
              </w:rPr>
            </w:pPr>
            <w:r>
              <w:br w:type="page"/>
            </w:r>
            <w:r>
              <w:br w:type="page"/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sz w:val="32"/>
                <w:szCs w:val="32"/>
                <w:lang w:eastAsia="it-IT"/>
              </w:rPr>
              <w:t>BIBLIOGRAFIA</w:t>
            </w:r>
          </w:p>
        </w:tc>
      </w:tr>
      <w:tr w:rsidR="003C6F46" w:rsidTr="003C6F46">
        <w:trPr>
          <w:tblCellSpacing w:w="7" w:type="dxa"/>
        </w:trPr>
        <w:tc>
          <w:tcPr>
            <w:tcW w:w="485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/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3C6F46" w:rsidTr="003C6F46">
        <w:trPr>
          <w:tblCellSpacing w:w="7" w:type="dxa"/>
        </w:trPr>
        <w:tc>
          <w:tcPr>
            <w:tcW w:w="485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3C6F46" w:rsidTr="003C6F46">
        <w:trPr>
          <w:trHeight w:val="75"/>
          <w:tblCellSpacing w:w="7" w:type="dxa"/>
        </w:trPr>
        <w:tc>
          <w:tcPr>
            <w:tcW w:w="4984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3C6F46" w:rsidTr="003C6F46">
        <w:trPr>
          <w:tblCellSpacing w:w="7" w:type="dxa"/>
        </w:trPr>
        <w:tc>
          <w:tcPr>
            <w:tcW w:w="485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3C6F46" w:rsidTr="003C6F46">
        <w:trPr>
          <w:tblCellSpacing w:w="7" w:type="dxa"/>
        </w:trPr>
        <w:tc>
          <w:tcPr>
            <w:tcW w:w="485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6F46" w:rsidRDefault="003C6F46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</w:tbl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5" w:history="1"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Albanesi</w:t>
        </w:r>
      </w:hyperlink>
      <w:r>
        <w:rPr>
          <w:rFonts w:ascii="Garamond" w:hAnsi="Garamond" w:cs="Times New Roman"/>
          <w:sz w:val="26"/>
          <w:szCs w:val="26"/>
        </w:rPr>
        <w:t xml:space="preserve"> Cinzia (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2004),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I gruppi di auto-aiuto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Roma, </w:t>
      </w:r>
      <w:hyperlink r:id="rId6" w:history="1"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Carocci</w:t>
        </w:r>
      </w:hyperlink>
      <w:r>
        <w:rPr>
          <w:rFonts w:ascii="Garamond" w:hAnsi="Garamond"/>
          <w:sz w:val="26"/>
          <w:szCs w:val="26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hAnsi="Garamond"/>
          <w:sz w:val="26"/>
          <w:szCs w:val="26"/>
        </w:rPr>
        <w:t>AA.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VV. (2015),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Piano di zona per gli interventi sociali e socio-sanitari. Ambito di Sesto San Giovanni – Cologno Monzese. Triennio 2015-2017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edito in proprio.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Bertoldi Stefano,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Vanzetta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Miriam (2001), “L’Associazione AMA di Trento. Una «Casa» per la promozione dell’auto/mutuo aiuto”,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Lavoro Sociale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Vol. 1 (n.1), pagg.113-120.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Boda Giovanna, Landi Silvia (2005),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Life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skills</w:t>
      </w:r>
      <w:proofErr w:type="spellEnd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: il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problem</w:t>
      </w:r>
      <w:proofErr w:type="spellEnd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solving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, Roma, Carocci.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Bortoli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Bruno,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Folgheraiter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Fabio (2002), “Empowerment”,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Lavoro Sociale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Vol. 2 (n. 2), pp. 273-281.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7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Calcaterra</w:t>
        </w:r>
        <w:proofErr w:type="spellEnd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 xml:space="preserve"> Valentina</w:t>
        </w:r>
      </w:hyperlink>
      <w:r>
        <w:rPr>
          <w:rFonts w:ascii="Garamond" w:hAnsi="Garamond"/>
          <w:sz w:val="26"/>
          <w:szCs w:val="26"/>
        </w:rPr>
        <w:t xml:space="preserve"> (2013)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Attivare e facilitare i gruppi di auto/mutuo aiuto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hyperlink r:id="rId8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Erickson</w:t>
        </w:r>
        <w:proofErr w:type="spellEnd"/>
      </w:hyperlink>
      <w:r>
        <w:rPr>
          <w:rFonts w:ascii="Garamond" w:hAnsi="Garamond"/>
          <w:sz w:val="26"/>
          <w:szCs w:val="26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Carkhuff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Robert (1994),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L’arte di aiutare. Guida per insegnanti, genitori, volontari e operatori sociosanitari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9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Cavagnini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Garamond" w:hAnsi="Garamond" w:cs="Times New Roman"/>
          <w:sz w:val="26"/>
          <w:szCs w:val="26"/>
        </w:rPr>
        <w:t>Emanuela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</w:t>
      </w:r>
      <w:hyperlink r:id="rId10" w:history="1"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Van</w:t>
        </w:r>
        <w:proofErr w:type="spellEnd"/>
        <w:proofErr w:type="gramEnd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 xml:space="preserve"> </w:t>
        </w:r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Westerhout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Elena (2009)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Incrocio di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saperi</w:t>
      </w:r>
      <w:proofErr w:type="spellEnd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. Empowerment e servizio sociale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Cazzaniga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Enrico, Noventa Andrea (2015),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Manuale dell’Auto Mutuo Aiuto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Milano, Edizioni AMA Milano-Monza Brianza.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Dallago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Lorenza (2006),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Che cos’è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l’empowerment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, Roma, Carocci.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Del Rio Gianni, Luppi Maria (2010),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Gruppo e relazione d’aiuto.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Saperi</w:t>
      </w:r>
      <w:proofErr w:type="spellEnd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, competenze, emozioni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Milano, Franco Angeli.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Demetrio Duccio (1996),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Raccontarsi. L’autobiografia come cura di sé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Milano, Raffaello Cortina.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11" w:tooltip="Vai alla pagina con tutti i prodotti per Mark Doel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Doel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Mark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hyperlink r:id="rId12" w:tooltip="Vai alla pagina con tutti i prodotti per Catherine Sawdon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Sawdon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Catherine (2001)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Lavorare con i gruppi. Manuale per gli operatori sociali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Fabbri Valeria (2006), </w:t>
      </w:r>
      <w:hyperlink r:id="rId13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Il gruppo e l'intervento sociale. Progettare, condurre, valutare</w:t>
        </w:r>
      </w:hyperlink>
      <w:r>
        <w:rPr>
          <w:rFonts w:ascii="Garamond" w:eastAsia="Times New Roman" w:hAnsi="Garamond" w:cs="Times New Roman"/>
          <w:sz w:val="26"/>
          <w:szCs w:val="26"/>
          <w:lang w:eastAsia="it-IT"/>
        </w:rPr>
        <w:t>, Roma, Carocci.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14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Folgheraiter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Fabio (2009)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Saggi di welfare. Qualità delle relazioni e servizi sociali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Folgheraiter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Fabio, Cappelletti Patrizia (a cura di) (2011), </w:t>
      </w:r>
      <w:hyperlink r:id="rId15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 xml:space="preserve">Natural </w:t>
        </w:r>
        <w:proofErr w:type="spellStart"/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helpers</w:t>
        </w:r>
        <w:proofErr w:type="spellEnd"/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. Storie di utenti e familiari esperti</w:t>
        </w:r>
      </w:hyperlink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Folgheraiter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Fabio (2012), </w:t>
      </w:r>
      <w:hyperlink r:id="rId16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Sorella crisi. La ricchezza di un welfare povero</w:t>
        </w:r>
      </w:hyperlink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Folgheraiter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Fabio (2013), “Il futuro del welfare. Mutualità e sussidiarietà relazionale”,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Lavoro sociale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Vol. 13 (n. 2), pp. 151-165.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hAnsi="Garamond" w:cs="Times New Roman"/>
          <w:sz w:val="26"/>
          <w:szCs w:val="26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Folgheraiter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Fabio (2016), “Lavoro sociale relazionale” in Raineri Maria Luisa (a cura di),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Assistente sociale domani. Letture scelte per la preparazione all’esame di stato – sez. B - Volume 1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(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pagg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. 331-342),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hAnsi="Garamond" w:cs="Times New Roman"/>
          <w:sz w:val="26"/>
          <w:szCs w:val="26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lastRenderedPageBreak/>
        <w:t>Giarelli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Guido,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Nigris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Daniele, Spina Elena (2012), </w:t>
      </w:r>
      <w:hyperlink r:id="rId17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La sfida dell'auto-mutuo aiuto. Associazionismo di cittadinanza e sistema sociosanitario</w:t>
        </w:r>
      </w:hyperlink>
      <w:r>
        <w:rPr>
          <w:rFonts w:ascii="Garamond" w:eastAsia="Times New Roman" w:hAnsi="Garamond" w:cs="Times New Roman"/>
          <w:sz w:val="26"/>
          <w:szCs w:val="26"/>
          <w:lang w:eastAsia="it-IT"/>
        </w:rPr>
        <w:t>, Roma, Carocci.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Gordon Thomas (2005),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Relazioni efficaci. Come costruirle, come non pregiudicarle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>, Bari, La Meridiana.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Illich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Ivan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et al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. (2008),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Esperti di troppo. Il paradosso delle professioni disabilitanti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18" w:tooltip="Vai alla pagina con tutti i prodotti per Roger Mucchielli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Mucchielli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Roger (1987)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hyperlink r:id="rId19" w:tooltip="Vai alla pagina del prodotto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 xml:space="preserve">Apprendere il </w:t>
        </w:r>
        <w:proofErr w:type="spellStart"/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counseling</w:t>
        </w:r>
        <w:proofErr w:type="spellEnd"/>
      </w:hyperlink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. Manuale di autoformazione al colloquio di aiuto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Nichols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Keith,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Jenkinson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John (2008), </w:t>
      </w:r>
      <w:hyperlink r:id="rId20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I gruppi di sostegno</w:t>
        </w:r>
      </w:hyperlink>
      <w:r>
        <w:rPr>
          <w:rFonts w:ascii="Garamond" w:eastAsia="Times New Roman" w:hAnsi="Garamond" w:cs="Times New Roman"/>
          <w:sz w:val="26"/>
          <w:szCs w:val="26"/>
          <w:lang w:eastAsia="it-IT"/>
        </w:rPr>
        <w:t>, Bologna, Il Mulino.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Pasini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Annalisa (2016), “I gruppi di auto/mutuo aiuto”, in Raineri Maria Luisa (a cura di),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Assistente sociale domani. Letture scelte per la preparazione all’esame di stato – sez. B - Volume 1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(pp. 239-246),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. 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Polito Mario (2003),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Comunicazione positiva e apprendimento cooperativo. Strategie per intrecciare benessere in classe e successo formativo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Raineri Maria Luisa (a cura di) (2016),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Assistente sociale domani. Letture scelte per la preparazione all’esame di stato – sez. B - Volume 1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hyperlink r:id="rId21" w:history="1">
        <w:proofErr w:type="spellStart"/>
        <w:r>
          <w:rPr>
            <w:rStyle w:val="Collegamentoipertestuale"/>
            <w:rFonts w:ascii="Garamond" w:eastAsia="Times New Roman" w:hAnsi="Garamond" w:cs="Times New Roman"/>
            <w:color w:val="auto"/>
            <w:sz w:val="26"/>
            <w:szCs w:val="26"/>
            <w:u w:val="none"/>
            <w:lang w:eastAsia="it-IT"/>
          </w:rPr>
          <w:t>Silverman</w:t>
        </w:r>
        <w:proofErr w:type="spellEnd"/>
      </w:hyperlink>
      <w:r>
        <w:rPr>
          <w:rFonts w:ascii="Garamond" w:hAnsi="Garamond" w:cs="Times New Roman"/>
          <w:sz w:val="26"/>
          <w:szCs w:val="26"/>
        </w:rPr>
        <w:t xml:space="preserve"> Phyllis R. (1989)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I gruppi di mutuo aiuto. Come l’operatore sociale li può organizzare e sostenere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Steinberg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Dominique M. (2002</w:t>
      </w:r>
      <w:proofErr w:type="gramStart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),  </w:t>
      </w:r>
      <w:hyperlink r:id="rId22" w:history="1"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L'auto</w:t>
        </w:r>
        <w:proofErr w:type="gramEnd"/>
        <w:r>
          <w:rPr>
            <w:rStyle w:val="Collegamentoipertestuale"/>
            <w:rFonts w:ascii="Garamond" w:eastAsia="Times New Roman" w:hAnsi="Garamond" w:cs="Times New Roman"/>
            <w:i/>
            <w:color w:val="auto"/>
            <w:sz w:val="26"/>
            <w:szCs w:val="26"/>
            <w:u w:val="none"/>
            <w:lang w:eastAsia="it-IT"/>
          </w:rPr>
          <w:t>/mutuo aiuto. Guida per i facilitatori di gruppo</w:t>
        </w:r>
      </w:hyperlink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 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Steinberg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Dominique M. (2011), “Il piacere di condividere. Mutuo aiuto e lavoro sociale professionale”,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Lavoro Sociale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Vol. 11 (n.1),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pagg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 53-66.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Van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Westerhout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Elena,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Cavagnini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 Emanuela, Distaso Marcella (a cura di) (2009), </w:t>
      </w:r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 xml:space="preserve">Incrocio di </w:t>
      </w:r>
      <w:proofErr w:type="spellStart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saperi</w:t>
      </w:r>
      <w:proofErr w:type="spellEnd"/>
      <w:r>
        <w:rPr>
          <w:rFonts w:ascii="Garamond" w:eastAsia="Times New Roman" w:hAnsi="Garamond" w:cs="Times New Roman"/>
          <w:i/>
          <w:sz w:val="26"/>
          <w:szCs w:val="26"/>
          <w:lang w:eastAsia="it-IT"/>
        </w:rPr>
        <w:t>. Empowerment e servizio sociale</w:t>
      </w: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, Trento, </w:t>
      </w:r>
      <w:proofErr w:type="spellStart"/>
      <w:r>
        <w:rPr>
          <w:rFonts w:ascii="Garamond" w:eastAsia="Times New Roman" w:hAnsi="Garamond" w:cs="Times New Roman"/>
          <w:sz w:val="26"/>
          <w:szCs w:val="26"/>
          <w:lang w:eastAsia="it-IT"/>
        </w:rPr>
        <w:t>Erickson</w:t>
      </w:r>
      <w:proofErr w:type="spellEnd"/>
      <w:r>
        <w:rPr>
          <w:rFonts w:ascii="Garamond" w:eastAsia="Times New Roman" w:hAnsi="Garamond" w:cs="Times New Roman"/>
          <w:sz w:val="26"/>
          <w:szCs w:val="26"/>
          <w:lang w:eastAsia="it-IT"/>
        </w:rPr>
        <w:t>.</w:t>
      </w:r>
    </w:p>
    <w:p w:rsidR="003C6F46" w:rsidRDefault="003C6F46" w:rsidP="003C6F46">
      <w:pPr>
        <w:pStyle w:val="Paragrafoelenco"/>
        <w:numPr>
          <w:ilvl w:val="0"/>
          <w:numId w:val="1"/>
        </w:numPr>
        <w:rPr>
          <w:rFonts w:ascii="Garamond" w:eastAsia="Times New Roman" w:hAnsi="Garamond" w:cs="Times New Roman"/>
          <w:sz w:val="26"/>
          <w:szCs w:val="26"/>
          <w:lang w:eastAsia="it-IT"/>
        </w:rPr>
      </w:pPr>
      <w:r>
        <w:rPr>
          <w:rFonts w:ascii="Garamond" w:eastAsia="Times New Roman" w:hAnsi="Garamond" w:cs="Times New Roman"/>
          <w:sz w:val="26"/>
          <w:szCs w:val="26"/>
          <w:lang w:eastAsia="it-IT"/>
        </w:rPr>
        <w:t xml:space="preserve">Voci Alberto (2014), </w:t>
      </w:r>
      <w:r>
        <w:rPr>
          <w:rFonts w:ascii="Garamond" w:hAnsi="Garamond" w:cs="Times New Roman"/>
          <w:i/>
          <w:sz w:val="26"/>
          <w:szCs w:val="26"/>
        </w:rPr>
        <w:t>Essere altruisti. Aiutare gli altri e stare meglio</w:t>
      </w:r>
      <w:r>
        <w:rPr>
          <w:rFonts w:ascii="Garamond" w:hAnsi="Garamond" w:cs="Times New Roman"/>
          <w:sz w:val="26"/>
          <w:szCs w:val="26"/>
        </w:rPr>
        <w:t>, Bologna, Il Mulino.</w:t>
      </w:r>
    </w:p>
    <w:p w:rsidR="00C36DD4" w:rsidRDefault="003C6F46" w:rsidP="003C6F46">
      <w:proofErr w:type="spellStart"/>
      <w:r>
        <w:rPr>
          <w:rFonts w:ascii="Garamond" w:hAnsi="Garamond" w:cs="Times New Roman"/>
          <w:sz w:val="26"/>
          <w:szCs w:val="26"/>
        </w:rPr>
        <w:t>Zilianti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Annamaria, Rovai Beatrice (2007), </w:t>
      </w:r>
      <w:r>
        <w:rPr>
          <w:rFonts w:ascii="Garamond" w:hAnsi="Garamond" w:cs="Times New Roman"/>
          <w:i/>
          <w:sz w:val="26"/>
          <w:szCs w:val="26"/>
        </w:rPr>
        <w:t>Assistenti sociali professionisti. Metodologia del lavoro sociale</w:t>
      </w:r>
      <w:r>
        <w:rPr>
          <w:rFonts w:ascii="Garamond" w:hAnsi="Garamond" w:cs="Times New Roman"/>
          <w:sz w:val="26"/>
          <w:szCs w:val="26"/>
        </w:rPr>
        <w:t>, Roma, Carocci.</w:t>
      </w:r>
    </w:p>
    <w:sectPr w:rsidR="00C36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91FA3"/>
    <w:multiLevelType w:val="hybridMultilevel"/>
    <w:tmpl w:val="BA1C3C7E"/>
    <w:lvl w:ilvl="0" w:tplc="A940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46"/>
    <w:rsid w:val="003C6F46"/>
    <w:rsid w:val="00C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F22A-3498-40EA-8AAC-53D1AAE8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F4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6F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C6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.it/editore/Erickson/erickson.html" TargetMode="External"/><Relationship Id="rId13" Type="http://schemas.openxmlformats.org/officeDocument/2006/relationships/hyperlink" Target="http://www.ibs.it/code/9788874664566/fabbri-valeria/gruppo-e-l-intervento-sociale.html" TargetMode="External"/><Relationship Id="rId18" Type="http://schemas.openxmlformats.org/officeDocument/2006/relationships/hyperlink" Target="http://www.erickson.it/Pagine/Scheda-Persona.aspx?ItemId=18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breriacortinamilano.it/autore/58890/phyllis-r-silverman.html" TargetMode="External"/><Relationship Id="rId7" Type="http://schemas.openxmlformats.org/officeDocument/2006/relationships/hyperlink" Target="http://www.ibs.it/libri/calcaterra+valentina/libri+di+valentina+calcaterra.html" TargetMode="External"/><Relationship Id="rId12" Type="http://schemas.openxmlformats.org/officeDocument/2006/relationships/hyperlink" Target="http://www.erickson.it/Pagine/Scheda-Persona.aspx?ItemId=2091" TargetMode="External"/><Relationship Id="rId17" Type="http://schemas.openxmlformats.org/officeDocument/2006/relationships/hyperlink" Target="http://www.ibs.it/code/9788843066834/giarelli-guido-nigris-daniele/sfida-dell-auto-mutuo-aiuto-associazionism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bs.it/code/9788859001782/folgheraiter-fabio/sorella-crisi-la-richezza.html" TargetMode="External"/><Relationship Id="rId20" Type="http://schemas.openxmlformats.org/officeDocument/2006/relationships/hyperlink" Target="http://www.ibs.it/code/9788815126610/nichols-keith-jenkinson-john/gruppi-di-sostegn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breriacortinamilano.it/editore/2171/carocci.html" TargetMode="External"/><Relationship Id="rId11" Type="http://schemas.openxmlformats.org/officeDocument/2006/relationships/hyperlink" Target="http://www.erickson.it/Pagine/Scheda-Persona.aspx?ItemId=149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libreriacortinamilano.it/autore/53771/cinzia-albanesi.html" TargetMode="External"/><Relationship Id="rId15" Type="http://schemas.openxmlformats.org/officeDocument/2006/relationships/hyperlink" Target="http://www.ibs.it/code/9788861378261/zzz99-folgheraiter-f-cappelletti/natural-helpers-storie-di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breriacortinamilano.it/autore/55861/elena-van-westerhout.html" TargetMode="External"/><Relationship Id="rId19" Type="http://schemas.openxmlformats.org/officeDocument/2006/relationships/hyperlink" Target="http://www.erickson.it/Libri/Pagine/Scheda-Libro.aspx?ItemId=37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reriacortinamilano.it/autore/55862/emanuela-cavagnini.html" TargetMode="External"/><Relationship Id="rId14" Type="http://schemas.openxmlformats.org/officeDocument/2006/relationships/hyperlink" Target="https://www.libreriacortinamilano.it/autore/56963/fabio-folgheraiter.html" TargetMode="External"/><Relationship Id="rId22" Type="http://schemas.openxmlformats.org/officeDocument/2006/relationships/hyperlink" Target="http://www.ibs.it/code/9788879465007/steinberg-dominique-m/auto/mutuo-aiuto-guida-per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</cp:lastModifiedBy>
  <cp:revision>1</cp:revision>
  <dcterms:created xsi:type="dcterms:W3CDTF">2017-05-25T04:58:00Z</dcterms:created>
  <dcterms:modified xsi:type="dcterms:W3CDTF">2017-05-25T05:00:00Z</dcterms:modified>
</cp:coreProperties>
</file>